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8BAF08">
      <w:pPr>
        <w:keepNext w:val="0"/>
        <w:keepLines w:val="0"/>
        <w:pageBreakBefore w:val="0"/>
        <w:widowControl w:val="0"/>
        <w:kinsoku/>
        <w:wordWrap/>
        <w:overflowPunct/>
        <w:topLinePunct w:val="0"/>
        <w:autoSpaceDE/>
        <w:autoSpaceDN/>
        <w:bidi w:val="0"/>
        <w:adjustRightInd/>
        <w:snapToGrid/>
        <w:spacing w:line="576" w:lineRule="exact"/>
        <w:ind w:right="960" w:firstLine="630"/>
        <w:jc w:val="right"/>
        <w:textAlignment w:val="auto"/>
        <w:rPr>
          <w:rFonts w:hint="eastAsia" w:eastAsia="仿宋_GB2312"/>
          <w:sz w:val="32"/>
          <w:szCs w:val="32"/>
          <w:lang w:val="en-US" w:eastAsia="zh-CN"/>
        </w:rPr>
      </w:pPr>
    </w:p>
    <w:p w14:paraId="788CB68F">
      <w:pPr>
        <w:keepNext w:val="0"/>
        <w:keepLines w:val="0"/>
        <w:pageBreakBefore w:val="0"/>
        <w:widowControl w:val="0"/>
        <w:kinsoku/>
        <w:wordWrap/>
        <w:overflowPunct/>
        <w:topLinePunct w:val="0"/>
        <w:autoSpaceDE/>
        <w:autoSpaceDN/>
        <w:bidi w:val="0"/>
        <w:adjustRightInd/>
        <w:snapToGrid/>
        <w:spacing w:line="576" w:lineRule="exact"/>
        <w:ind w:right="960" w:firstLine="630"/>
        <w:jc w:val="right"/>
        <w:textAlignment w:val="auto"/>
        <w:rPr>
          <w:rFonts w:hint="eastAsia" w:eastAsia="仿宋_GB2312"/>
          <w:sz w:val="32"/>
          <w:szCs w:val="32"/>
          <w:lang w:val="en-US" w:eastAsia="zh-CN"/>
        </w:rPr>
      </w:pPr>
    </w:p>
    <w:p w14:paraId="270C3737">
      <w:pPr>
        <w:keepNext w:val="0"/>
        <w:keepLines w:val="0"/>
        <w:pageBreakBefore w:val="0"/>
        <w:widowControl w:val="0"/>
        <w:kinsoku/>
        <w:wordWrap/>
        <w:overflowPunct/>
        <w:topLinePunct w:val="0"/>
        <w:autoSpaceDE/>
        <w:autoSpaceDN/>
        <w:bidi w:val="0"/>
        <w:adjustRightInd/>
        <w:snapToGrid/>
        <w:spacing w:line="540" w:lineRule="exact"/>
        <w:ind w:right="960" w:firstLine="630"/>
        <w:jc w:val="right"/>
        <w:textAlignment w:val="auto"/>
        <w:rPr>
          <w:rFonts w:hint="eastAsia" w:ascii="仿宋_GB2312" w:hAnsi="仿宋_GB2312" w:eastAsia="仿宋_GB2312" w:cs="仿宋_GB2312"/>
          <w:sz w:val="32"/>
          <w:szCs w:val="32"/>
          <w:lang w:val="en-US" w:eastAsia="zh-CN"/>
        </w:rPr>
      </w:pPr>
      <w:r>
        <w:rPr>
          <w:rFonts w:hint="eastAsia" w:eastAsia="仿宋_GB2312"/>
          <w:sz w:val="32"/>
          <w:szCs w:val="32"/>
          <w:lang w:val="en-US" w:eastAsia="zh-CN"/>
        </w:rPr>
        <w:t xml:space="preserve"> </w:t>
      </w:r>
      <w:r>
        <w:rPr>
          <w:rFonts w:hint="eastAsia" w:ascii="仿宋_GB2312" w:hAnsi="仿宋_GB2312" w:eastAsia="仿宋_GB2312" w:cs="仿宋_GB2312"/>
          <w:sz w:val="32"/>
          <w:szCs w:val="32"/>
          <w:lang w:val="en-US" w:eastAsia="zh-CN"/>
        </w:rPr>
        <w:t>是否同意公开：（是）</w:t>
      </w:r>
    </w:p>
    <w:p w14:paraId="3E5D3D9C">
      <w:pPr>
        <w:keepNext w:val="0"/>
        <w:keepLines w:val="0"/>
        <w:pageBreakBefore w:val="0"/>
        <w:widowControl w:val="0"/>
        <w:kinsoku/>
        <w:wordWrap/>
        <w:overflowPunct/>
        <w:topLinePunct w:val="0"/>
        <w:autoSpaceDE/>
        <w:autoSpaceDN/>
        <w:bidi w:val="0"/>
        <w:adjustRightInd/>
        <w:snapToGrid/>
        <w:spacing w:line="540" w:lineRule="exact"/>
        <w:ind w:right="64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办理结果：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sz w:val="32"/>
          <w:szCs w:val="32"/>
          <w:lang w:eastAsia="zh-CN"/>
        </w:rPr>
        <w:t>）</w:t>
      </w:r>
    </w:p>
    <w:p w14:paraId="06F98CE2">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滦住建承办字</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24</w:t>
      </w:r>
      <w:r>
        <w:rPr>
          <w:rFonts w:hint="eastAsia" w:ascii="仿宋_GB2312" w:hAnsi="仿宋_GB2312" w:eastAsia="仿宋_GB2312" w:cs="仿宋_GB2312"/>
          <w:sz w:val="32"/>
          <w:szCs w:val="32"/>
        </w:rPr>
        <w:t>号</w:t>
      </w:r>
    </w:p>
    <w:p w14:paraId="1ED3D420">
      <w:pPr>
        <w:pStyle w:val="2"/>
      </w:pPr>
    </w:p>
    <w:p w14:paraId="3D85F6F2">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滦平县住房和城乡建设局</w:t>
      </w:r>
    </w:p>
    <w:p w14:paraId="5E726801">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对政协滦平县十一届</w:t>
      </w:r>
      <w:r>
        <w:rPr>
          <w:rFonts w:hint="eastAsia" w:ascii="方正小标宋简体" w:hAnsi="方正小标宋简体" w:eastAsia="方正小标宋简体" w:cs="方正小标宋简体"/>
          <w:sz w:val="44"/>
          <w:szCs w:val="44"/>
          <w:lang w:val="en" w:eastAsia="en"/>
        </w:rPr>
        <w:t>第</w:t>
      </w:r>
      <w:r>
        <w:rPr>
          <w:rFonts w:hint="eastAsia" w:ascii="方正小标宋简体" w:hAnsi="方正小标宋简体" w:eastAsia="方正小标宋简体" w:cs="方正小标宋简体"/>
          <w:sz w:val="44"/>
          <w:szCs w:val="44"/>
          <w:lang w:val="en-US" w:eastAsia="zh-CN"/>
        </w:rPr>
        <w:t>五</w:t>
      </w:r>
      <w:r>
        <w:rPr>
          <w:rFonts w:hint="eastAsia" w:ascii="方正小标宋简体" w:hAnsi="方正小标宋简体" w:eastAsia="方正小标宋简体" w:cs="方正小标宋简体"/>
          <w:sz w:val="44"/>
          <w:szCs w:val="44"/>
          <w:lang w:val="en" w:eastAsia="en"/>
        </w:rPr>
        <w:t>次</w:t>
      </w:r>
      <w:r>
        <w:rPr>
          <w:rFonts w:hint="eastAsia" w:ascii="方正小标宋简体" w:hAnsi="方正小标宋简体" w:eastAsia="方正小标宋简体" w:cs="方正小标宋简体"/>
          <w:sz w:val="44"/>
          <w:szCs w:val="44"/>
          <w:lang w:val="en-US" w:eastAsia="zh-CN"/>
        </w:rPr>
        <w:t>会议</w:t>
      </w:r>
    </w:p>
    <w:p w14:paraId="63EC8BD6">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第19号提案的答复</w:t>
      </w:r>
    </w:p>
    <w:p w14:paraId="0C259A80">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eastAsia="仿宋_GB2312"/>
          <w:sz w:val="32"/>
        </w:rPr>
      </w:pPr>
    </w:p>
    <w:p w14:paraId="06DA3830">
      <w:pPr>
        <w:keepNext w:val="0"/>
        <w:keepLines w:val="0"/>
        <w:pageBreakBefore w:val="0"/>
        <w:widowControl w:val="0"/>
        <w:kinsoku/>
        <w:overflowPunct/>
        <w:topLinePunct w:val="0"/>
        <w:autoSpaceDE/>
        <w:autoSpaceDN/>
        <w:bidi w:val="0"/>
        <w:adjustRightInd/>
        <w:snapToGrid/>
        <w:spacing w:line="480" w:lineRule="exact"/>
        <w:textAlignment w:val="auto"/>
        <w:rPr>
          <w:rFonts w:hint="eastAsia" w:ascii="仿宋_GB2312" w:eastAsia="仿宋_GB2312"/>
          <w:sz w:val="32"/>
        </w:rPr>
      </w:pPr>
      <w:r>
        <w:rPr>
          <w:rFonts w:hint="eastAsia" w:ascii="仿宋_GB2312" w:eastAsia="仿宋_GB2312"/>
          <w:sz w:val="32"/>
          <w:lang w:val="en-US" w:eastAsia="zh-CN"/>
        </w:rPr>
        <w:t>梁保祥</w:t>
      </w:r>
      <w:r>
        <w:rPr>
          <w:rFonts w:hint="eastAsia" w:ascii="仿宋_GB2312" w:eastAsia="仿宋_GB2312"/>
          <w:sz w:val="32"/>
        </w:rPr>
        <w:t>委员：</w:t>
      </w:r>
    </w:p>
    <w:p w14:paraId="736F66EA">
      <w:pPr>
        <w:keepNext w:val="0"/>
        <w:keepLines w:val="0"/>
        <w:pageBreakBefore w:val="0"/>
        <w:widowControl w:val="0"/>
        <w:kinsoku/>
        <w:overflowPunct/>
        <w:topLinePunct w:val="0"/>
        <w:autoSpaceDE/>
        <w:autoSpaceDN/>
        <w:bidi w:val="0"/>
        <w:adjustRightInd/>
        <w:snapToGrid/>
        <w:spacing w:line="480" w:lineRule="exact"/>
        <w:ind w:firstLine="645"/>
        <w:textAlignment w:val="auto"/>
        <w:rPr>
          <w:rFonts w:hint="eastAsia" w:ascii="仿宋_GB2312" w:eastAsia="仿宋_GB2312"/>
          <w:sz w:val="32"/>
        </w:rPr>
      </w:pPr>
      <w:r>
        <w:rPr>
          <w:rFonts w:hint="eastAsia" w:ascii="仿宋_GB2312" w:eastAsia="仿宋_GB2312"/>
          <w:sz w:val="32"/>
        </w:rPr>
        <w:t>您提出的关于</w:t>
      </w:r>
      <w:r>
        <w:rPr>
          <w:rFonts w:hint="eastAsia" w:eastAsia="仿宋_GB2312"/>
          <w:sz w:val="32"/>
          <w:szCs w:val="32"/>
        </w:rPr>
        <w:t>“</w:t>
      </w:r>
      <w:r>
        <w:rPr>
          <w:rFonts w:hint="eastAsia" w:eastAsia="仿宋_GB2312"/>
          <w:sz w:val="32"/>
          <w:szCs w:val="32"/>
          <w:lang w:val="en-US" w:eastAsia="zh-CN"/>
        </w:rPr>
        <w:t>加强住宅小区电动车管理的建议</w:t>
      </w:r>
      <w:r>
        <w:rPr>
          <w:rFonts w:hint="eastAsia" w:eastAsia="仿宋_GB2312"/>
          <w:sz w:val="32"/>
          <w:szCs w:val="32"/>
        </w:rPr>
        <w:t>”</w:t>
      </w:r>
      <w:r>
        <w:rPr>
          <w:rFonts w:hint="eastAsia" w:ascii="仿宋_GB2312" w:eastAsia="仿宋_GB2312"/>
          <w:sz w:val="32"/>
        </w:rPr>
        <w:t>的提案收悉，现答复如下：</w:t>
      </w:r>
    </w:p>
    <w:p w14:paraId="1A18A0D2">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一、基本情况</w:t>
      </w:r>
    </w:p>
    <w:p w14:paraId="7AF1C1A7">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滦平县共有175个住宅小区，其中有专业物业管理的小区47个，业主自治或依托社区托管小区128个，居民45361户，学校196所，医院3家、大型商超4个。目前县城共有充电桩端口4269个，物业服务区域内停车位14513个，电动汽车充电桩共84组。</w:t>
      </w:r>
    </w:p>
    <w:p w14:paraId="4ADE55C2">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二、工作开展情况</w:t>
      </w:r>
    </w:p>
    <w:p w14:paraId="4889C9AC">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我局积极推动电动自行车充电设施项目，经过全面摸排，初步统计县城约有电动自行车16400余辆，目前县城共有充电桩端口4269个，根据建设方案，按照电动自行车与充电桩端口5:1的数量配比，由中国移动滦平分公司、中国电信滦平分公司在住宅小区、医院商超、机关单位等人流密集场所新建电动自行车充电桩端口4330个，截止到目前已新增4800个充电端口，由企业投资520万元，现已全部建设完成。</w:t>
      </w:r>
    </w:p>
    <w:p w14:paraId="08E10237">
      <w:pPr>
        <w:keepNext w:val="0"/>
        <w:keepLines w:val="0"/>
        <w:pageBreakBefore w:val="0"/>
        <w:widowControl w:val="0"/>
        <w:kinsoku/>
        <w:overflowPunct/>
        <w:topLinePunct w:val="0"/>
        <w:autoSpaceDE/>
        <w:autoSpaceDN/>
        <w:bidi w:val="0"/>
        <w:adjustRightInd/>
        <w:snapToGrid/>
        <w:spacing w:line="480" w:lineRule="exact"/>
        <w:ind w:right="0" w:rightChars="0" w:firstLine="640" w:firstLineChars="200"/>
        <w:jc w:val="both"/>
        <w:textAlignment w:val="auto"/>
        <w:outlineLvl w:val="9"/>
        <w:rPr>
          <w:rFonts w:hint="default"/>
          <w:lang w:val="en-US" w:eastAsia="zh-CN"/>
        </w:rPr>
      </w:pPr>
      <w:r>
        <w:rPr>
          <w:rFonts w:hint="eastAsia" w:ascii="仿宋_GB2312" w:hAnsi="仿宋_GB2312" w:eastAsia="仿宋_GB2312" w:cs="仿宋_GB2312"/>
          <w:sz w:val="32"/>
          <w:szCs w:val="32"/>
          <w:lang w:val="en-US" w:eastAsia="zh-CN"/>
        </w:rPr>
        <w:t>为全面消除我县住宅小区电动自行车进楼道、上楼充电等违法行为，减少违规充电发生火灾安全隐患。由我局组织实施滦平县住宅小区电梯加装电动自行车智能阻车系统项目，</w:t>
      </w:r>
      <w:r>
        <w:rPr>
          <w:rFonts w:hint="eastAsia" w:ascii="仿宋_GB2312" w:hAnsi="仿宋" w:eastAsia="仿宋_GB2312" w:cs="仿宋_GB2312"/>
          <w:sz w:val="32"/>
          <w:szCs w:val="32"/>
          <w:highlight w:val="none"/>
          <w:lang w:val="en-US" w:eastAsia="zh-CN"/>
        </w:rPr>
        <w:t>为全县50个高层住宅小区1195部电梯加装电动自行车智能阻车系统</w:t>
      </w:r>
      <w:r>
        <w:rPr>
          <w:rFonts w:hint="eastAsia" w:ascii="仿宋_GB2312" w:hAnsi="仿宋_GB2312" w:eastAsia="仿宋_GB2312" w:cs="仿宋_GB2312"/>
          <w:sz w:val="32"/>
          <w:szCs w:val="32"/>
          <w:lang w:val="en-US" w:eastAsia="zh-CN"/>
        </w:rPr>
        <w:t>，</w:t>
      </w:r>
      <w:r>
        <w:rPr>
          <w:rFonts w:hint="eastAsia" w:ascii="仿宋_GB2312" w:hAnsi="仿宋" w:eastAsia="仿宋_GB2312" w:cs="仿宋_GB2312"/>
          <w:sz w:val="32"/>
          <w:szCs w:val="32"/>
          <w:highlight w:val="none"/>
          <w:lang w:val="en-US" w:eastAsia="zh-CN"/>
        </w:rPr>
        <w:t>本项目于2024年12月底已全部建设完成。</w:t>
      </w:r>
    </w:p>
    <w:p w14:paraId="04C82217">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我局积极推进老旧小区改造工作，已改造完成2005年（含）以前建成小区95个，推动新建电动车棚76个，配建充电桩133套，为居民提供890个充电口。</w:t>
      </w:r>
    </w:p>
    <w:p w14:paraId="6CA92B1A">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各物业服务企业利用公共停车位和地下停车位建设相对集中的公共新能源汽车充电桩，目前，05鑫城、青水湾、05鑫港、长城河谷、粮食局3号楼、磁源城、安馨家园、观湖小区、佳福二期、阿那亚项目、饮马川、铸合壹号院、盛和居共13个小区已建设安装电动汽车充电桩共84组，今年增设了73组。</w:t>
      </w:r>
      <w:bookmarkStart w:id="0" w:name="_GoBack"/>
      <w:bookmarkEnd w:id="0"/>
    </w:p>
    <w:p w14:paraId="28999776">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三、下一步工作计划</w:t>
      </w:r>
    </w:p>
    <w:p w14:paraId="708A5358">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eastAsia="仿宋_GB2312"/>
          <w:sz w:val="32"/>
        </w:rPr>
      </w:pPr>
      <w:r>
        <w:rPr>
          <w:rFonts w:hint="eastAsia" w:ascii="仿宋_GB2312" w:hAnsi="Times New Roman" w:eastAsia="仿宋_GB2312" w:cs="Times New Roman"/>
          <w:kern w:val="2"/>
          <w:sz w:val="32"/>
          <w:szCs w:val="32"/>
          <w:lang w:val="en-US" w:eastAsia="zh-CN" w:bidi="ar-SA"/>
        </w:rPr>
        <w:t>我局将继续加强已建有物业企业服务的住宅小区充电设施安装管理工作，鼓励物业服务企业利用公共停车位和地下停车位建设相对集中的公共充电桩，对于居民的充电需求在客观条件满足的情况下，尽量纳入建设范围，切实解决当前居民区充电基础设施安装及管理中存在的问题。</w:t>
      </w:r>
    </w:p>
    <w:p w14:paraId="4AD2E13E">
      <w:pPr>
        <w:keepNext w:val="0"/>
        <w:keepLines w:val="0"/>
        <w:pageBreakBefore w:val="0"/>
        <w:widowControl w:val="0"/>
        <w:kinsoku/>
        <w:wordWrap w:val="0"/>
        <w:overflowPunct/>
        <w:topLinePunct w:val="0"/>
        <w:autoSpaceDE/>
        <w:autoSpaceDN/>
        <w:bidi w:val="0"/>
        <w:adjustRightInd/>
        <w:snapToGrid/>
        <w:spacing w:line="480" w:lineRule="exact"/>
        <w:ind w:left="5749" w:leftChars="2128" w:hanging="1280" w:hangingChars="400"/>
        <w:jc w:val="both"/>
        <w:textAlignment w:val="auto"/>
        <w:rPr>
          <w:rFonts w:hint="eastAsia" w:ascii="仿宋_GB2312" w:eastAsia="仿宋_GB2312"/>
          <w:sz w:val="32"/>
          <w:lang w:val="en-US" w:eastAsia="zh-CN"/>
        </w:rPr>
      </w:pPr>
    </w:p>
    <w:p w14:paraId="622743EA">
      <w:pPr>
        <w:keepNext w:val="0"/>
        <w:keepLines w:val="0"/>
        <w:pageBreakBefore w:val="0"/>
        <w:widowControl w:val="0"/>
        <w:kinsoku/>
        <w:wordWrap w:val="0"/>
        <w:overflowPunct/>
        <w:topLinePunct w:val="0"/>
        <w:autoSpaceDE/>
        <w:autoSpaceDN/>
        <w:bidi w:val="0"/>
        <w:adjustRightInd/>
        <w:snapToGrid/>
        <w:spacing w:line="480" w:lineRule="exact"/>
        <w:ind w:left="5749" w:leftChars="2128" w:hanging="1280" w:hangingChars="400"/>
        <w:jc w:val="both"/>
        <w:textAlignment w:val="auto"/>
        <w:rPr>
          <w:rFonts w:hint="eastAsia" w:ascii="仿宋_GB2312" w:eastAsia="仿宋_GB2312"/>
          <w:sz w:val="32"/>
          <w:lang w:val="en-US" w:eastAsia="zh-CN"/>
        </w:rPr>
      </w:pPr>
    </w:p>
    <w:p w14:paraId="3FC1DDBA">
      <w:pPr>
        <w:keepNext w:val="0"/>
        <w:keepLines w:val="0"/>
        <w:pageBreakBefore w:val="0"/>
        <w:widowControl w:val="0"/>
        <w:kinsoku/>
        <w:wordWrap w:val="0"/>
        <w:overflowPunct/>
        <w:topLinePunct w:val="0"/>
        <w:autoSpaceDE/>
        <w:autoSpaceDN/>
        <w:bidi w:val="0"/>
        <w:adjustRightInd/>
        <w:snapToGrid/>
        <w:spacing w:line="480" w:lineRule="exact"/>
        <w:ind w:left="5749" w:leftChars="2128" w:hanging="1280" w:hangingChars="400"/>
        <w:jc w:val="both"/>
        <w:textAlignment w:val="auto"/>
        <w:rPr>
          <w:rFonts w:hint="eastAsia" w:ascii="仿宋_GB2312" w:eastAsia="仿宋_GB2312"/>
          <w:sz w:val="32"/>
          <w:lang w:val="en-US" w:eastAsia="zh-CN"/>
        </w:rPr>
      </w:pPr>
      <w:r>
        <w:rPr>
          <w:rFonts w:hint="eastAsia" w:ascii="仿宋_GB2312" w:eastAsia="仿宋_GB2312"/>
          <w:sz w:val="32"/>
          <w:lang w:val="en-US" w:eastAsia="zh-CN"/>
        </w:rPr>
        <w:t>滦平县住房和城乡建设局</w:t>
      </w:r>
    </w:p>
    <w:p w14:paraId="69E40DD6">
      <w:pPr>
        <w:keepNext w:val="0"/>
        <w:keepLines w:val="0"/>
        <w:pageBreakBefore w:val="0"/>
        <w:widowControl w:val="0"/>
        <w:kinsoku/>
        <w:wordWrap w:val="0"/>
        <w:overflowPunct/>
        <w:topLinePunct w:val="0"/>
        <w:autoSpaceDE/>
        <w:autoSpaceDN/>
        <w:bidi w:val="0"/>
        <w:adjustRightInd/>
        <w:snapToGrid/>
        <w:spacing w:line="480" w:lineRule="exact"/>
        <w:ind w:left="5747" w:leftChars="2432" w:hanging="640" w:hangingChars="200"/>
        <w:jc w:val="both"/>
        <w:textAlignment w:val="auto"/>
        <w:rPr>
          <w:rFonts w:hint="eastAsia" w:ascii="仿宋_GB2312" w:eastAsia="仿宋_GB2312"/>
          <w:sz w:val="32"/>
          <w:lang w:val="en-US" w:eastAsia="zh-CN"/>
        </w:rPr>
      </w:pPr>
      <w:r>
        <w:rPr>
          <w:rFonts w:hint="eastAsia" w:ascii="仿宋_GB2312" w:eastAsia="仿宋_GB2312"/>
          <w:sz w:val="32"/>
          <w:lang w:val="en-US" w:eastAsia="zh-CN"/>
        </w:rPr>
        <w:t>2025</w:t>
      </w:r>
      <w:r>
        <w:rPr>
          <w:rFonts w:hint="eastAsia" w:ascii="仿宋_GB2312" w:eastAsia="仿宋_GB2312"/>
          <w:sz w:val="32"/>
        </w:rPr>
        <w:t>年</w:t>
      </w:r>
      <w:r>
        <w:rPr>
          <w:rFonts w:hint="eastAsia" w:ascii="仿宋_GB2312" w:eastAsia="仿宋_GB2312"/>
          <w:sz w:val="32"/>
          <w:lang w:val="en-US" w:eastAsia="zh-CN"/>
        </w:rPr>
        <w:t>7</w:t>
      </w:r>
      <w:r>
        <w:rPr>
          <w:rFonts w:hint="eastAsia" w:ascii="仿宋_GB2312" w:eastAsia="仿宋_GB2312"/>
          <w:sz w:val="32"/>
        </w:rPr>
        <w:t>月</w:t>
      </w:r>
      <w:r>
        <w:rPr>
          <w:rFonts w:hint="eastAsia" w:ascii="仿宋_GB2312" w:eastAsia="仿宋_GB2312"/>
          <w:sz w:val="32"/>
          <w:lang w:val="en-US" w:eastAsia="zh-CN"/>
        </w:rPr>
        <w:t>8</w:t>
      </w:r>
      <w:r>
        <w:rPr>
          <w:rFonts w:hint="eastAsia" w:ascii="仿宋_GB2312" w:eastAsia="仿宋_GB2312"/>
          <w:sz w:val="32"/>
        </w:rPr>
        <w:t>日</w:t>
      </w:r>
    </w:p>
    <w:p w14:paraId="043CBE48">
      <w:pPr>
        <w:keepNext w:val="0"/>
        <w:keepLines w:val="0"/>
        <w:pageBreakBefore w:val="0"/>
        <w:widowControl w:val="0"/>
        <w:kinsoku/>
        <w:wordWrap w:val="0"/>
        <w:overflowPunct/>
        <w:topLinePunct w:val="0"/>
        <w:autoSpaceDE/>
        <w:autoSpaceDN/>
        <w:bidi w:val="0"/>
        <w:adjustRightInd/>
        <w:snapToGrid/>
        <w:spacing w:line="480" w:lineRule="exact"/>
        <w:jc w:val="both"/>
        <w:textAlignment w:val="auto"/>
        <w:rPr>
          <w:rFonts w:hint="eastAsia" w:ascii="仿宋_GB2312" w:eastAsia="仿宋_GB2312"/>
          <w:sz w:val="32"/>
        </w:rPr>
      </w:pPr>
    </w:p>
    <w:p w14:paraId="6D41F098">
      <w:pPr>
        <w:keepNext w:val="0"/>
        <w:keepLines w:val="0"/>
        <w:pageBreakBefore w:val="0"/>
        <w:widowControl w:val="0"/>
        <w:kinsoku/>
        <w:wordWrap w:val="0"/>
        <w:overflowPunct/>
        <w:topLinePunct w:val="0"/>
        <w:autoSpaceDE/>
        <w:autoSpaceDN/>
        <w:bidi w:val="0"/>
        <w:adjustRightInd/>
        <w:snapToGrid/>
        <w:spacing w:line="480" w:lineRule="exact"/>
        <w:jc w:val="both"/>
        <w:textAlignment w:val="auto"/>
        <w:rPr>
          <w:rFonts w:hint="eastAsia" w:ascii="仿宋_GB2312" w:eastAsia="仿宋_GB2312"/>
          <w:sz w:val="32"/>
        </w:rPr>
      </w:pPr>
    </w:p>
    <w:p w14:paraId="6C20E49A">
      <w:pPr>
        <w:keepNext w:val="0"/>
        <w:keepLines w:val="0"/>
        <w:pageBreakBefore w:val="0"/>
        <w:widowControl w:val="0"/>
        <w:kinsoku/>
        <w:wordWrap w:val="0"/>
        <w:overflowPunct/>
        <w:topLinePunct w:val="0"/>
        <w:autoSpaceDE/>
        <w:autoSpaceDN/>
        <w:bidi w:val="0"/>
        <w:adjustRightInd/>
        <w:snapToGrid/>
        <w:spacing w:line="480" w:lineRule="exact"/>
        <w:jc w:val="both"/>
        <w:textAlignment w:val="auto"/>
        <w:rPr>
          <w:rFonts w:hint="eastAsia" w:ascii="仿宋_GB2312" w:eastAsia="仿宋_GB2312"/>
          <w:sz w:val="32"/>
        </w:rPr>
      </w:pPr>
    </w:p>
    <w:p w14:paraId="0E0D698A">
      <w:pPr>
        <w:keepNext w:val="0"/>
        <w:keepLines w:val="0"/>
        <w:pageBreakBefore w:val="0"/>
        <w:widowControl w:val="0"/>
        <w:kinsoku/>
        <w:wordWrap w:val="0"/>
        <w:overflowPunct/>
        <w:topLinePunct w:val="0"/>
        <w:autoSpaceDE/>
        <w:autoSpaceDN/>
        <w:bidi w:val="0"/>
        <w:adjustRightInd/>
        <w:snapToGrid/>
        <w:spacing w:line="480" w:lineRule="exact"/>
        <w:jc w:val="both"/>
        <w:textAlignment w:val="auto"/>
        <w:rPr>
          <w:rFonts w:hint="eastAsia" w:ascii="仿宋_GB2312" w:eastAsia="仿宋_GB2312"/>
          <w:sz w:val="32"/>
        </w:rPr>
      </w:pPr>
      <w:r>
        <w:rPr>
          <w:rFonts w:hint="eastAsia" w:ascii="仿宋_GB2312" w:eastAsia="仿宋_GB2312"/>
          <w:sz w:val="32"/>
        </w:rPr>
        <w:t>领导签发：</w:t>
      </w:r>
    </w:p>
    <w:p w14:paraId="172AED7E">
      <w:pPr>
        <w:keepNext w:val="0"/>
        <w:keepLines w:val="0"/>
        <w:pageBreakBefore w:val="0"/>
        <w:widowControl w:val="0"/>
        <w:kinsoku/>
        <w:overflowPunct/>
        <w:topLinePunct w:val="0"/>
        <w:autoSpaceDE/>
        <w:autoSpaceDN/>
        <w:bidi w:val="0"/>
        <w:adjustRightInd/>
        <w:snapToGrid/>
        <w:spacing w:line="480" w:lineRule="exact"/>
        <w:textAlignment w:val="auto"/>
        <w:rPr>
          <w:rFonts w:hint="eastAsia" w:ascii="仿宋_GB2312" w:eastAsia="仿宋_GB2312"/>
          <w:sz w:val="32"/>
        </w:rPr>
      </w:pPr>
      <w:r>
        <w:rPr>
          <w:rFonts w:hint="eastAsia" w:ascii="仿宋_GB2312" w:eastAsia="仿宋_GB2312"/>
          <w:sz w:val="32"/>
        </w:rPr>
        <w:t>联系人及电话：</w:t>
      </w:r>
      <w:r>
        <w:rPr>
          <w:rFonts w:hint="eastAsia" w:ascii="仿宋_GB2312" w:eastAsia="仿宋_GB2312"/>
          <w:sz w:val="32"/>
          <w:lang w:eastAsia="zh-CN"/>
        </w:rPr>
        <w:t>邓岩</w:t>
      </w:r>
      <w:r>
        <w:rPr>
          <w:rFonts w:hint="eastAsia" w:ascii="仿宋_GB2312" w:eastAsia="仿宋_GB2312"/>
          <w:sz w:val="32"/>
          <w:lang w:val="en-US" w:eastAsia="zh-CN"/>
        </w:rPr>
        <w:t xml:space="preserve">  0314-8589605</w:t>
      </w:r>
    </w:p>
    <w:p w14:paraId="3CD79934">
      <w:pPr>
        <w:keepNext w:val="0"/>
        <w:keepLines w:val="0"/>
        <w:pageBreakBefore w:val="0"/>
        <w:widowControl w:val="0"/>
        <w:kinsoku/>
        <w:overflowPunct/>
        <w:topLinePunct w:val="0"/>
        <w:autoSpaceDE/>
        <w:autoSpaceDN/>
        <w:bidi w:val="0"/>
        <w:adjustRightInd/>
        <w:snapToGrid/>
        <w:spacing w:line="480" w:lineRule="exact"/>
        <w:textAlignment w:val="auto"/>
      </w:pPr>
      <w:r>
        <w:rPr>
          <w:rFonts w:hint="eastAsia" w:ascii="仿宋_GB2312" w:eastAsia="仿宋_GB2312"/>
          <w:sz w:val="32"/>
        </w:rPr>
        <w:t>抄报：县政协提案委员会、县政府办公室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B64DAB2-A33D-46AF-8BC7-7F1EA30B516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D1A106A3-5924-44EB-B737-03EA8BD414FA}"/>
  </w:font>
  <w:font w:name="仿宋_GB2312">
    <w:panose1 w:val="02010609030101010101"/>
    <w:charset w:val="86"/>
    <w:family w:val="modern"/>
    <w:pitch w:val="default"/>
    <w:sig w:usb0="00000001" w:usb1="080E0000" w:usb2="00000000" w:usb3="00000000" w:csb0="00040000" w:csb1="00000000"/>
    <w:embedRegular r:id="rId3" w:fontKey="{F89A7CBE-A9CA-4768-93F8-491A30ECF998}"/>
  </w:font>
  <w:font w:name="方正小标宋简体">
    <w:panose1 w:val="02000000000000000000"/>
    <w:charset w:val="86"/>
    <w:family w:val="auto"/>
    <w:pitch w:val="default"/>
    <w:sig w:usb0="00000001" w:usb1="080E0000" w:usb2="00000000" w:usb3="00000000" w:csb0="00040000" w:csb1="00000000"/>
    <w:embedRegular r:id="rId4" w:fontKey="{1FAA0EA6-ECB1-4154-B555-4619B4E1A548}"/>
  </w:font>
  <w:font w:name="仿宋">
    <w:panose1 w:val="02010609060101010101"/>
    <w:charset w:val="86"/>
    <w:family w:val="auto"/>
    <w:pitch w:val="default"/>
    <w:sig w:usb0="800002BF" w:usb1="38CF7CFA" w:usb2="00000016" w:usb3="00000000" w:csb0="00040001" w:csb1="00000000"/>
    <w:embedRegular r:id="rId5" w:fontKey="{E33C119A-90B7-48BD-B8A7-B50CEA3A5DE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4YjVmYzdkZjE3OTE2NDljZWU2MzgyZTk5YjA1YWQifQ=="/>
  </w:docVars>
  <w:rsids>
    <w:rsidRoot w:val="7A5D313D"/>
    <w:rsid w:val="3AE85F5B"/>
    <w:rsid w:val="50A73D01"/>
    <w:rsid w:val="60852569"/>
    <w:rsid w:val="7A5D313D"/>
    <w:rsid w:val="7A6A1E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qFormat/>
    <w:uiPriority w:val="0"/>
    <w:pPr>
      <w:spacing w:before="100" w:beforeAutospacing="1" w:after="100" w:afterAutospacing="1"/>
      <w:jc w:val="left"/>
      <w:outlineLvl w:val="1"/>
    </w:pPr>
    <w:rPr>
      <w:rFonts w:hint="eastAsia" w:ascii="宋体" w:hAnsi="宋体"/>
      <w:b/>
      <w:kern w:val="0"/>
      <w:sz w:val="36"/>
      <w:szCs w:val="36"/>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Plain Text1"/>
    <w:basedOn w:val="1"/>
    <w:next w:val="3"/>
    <w:qFormat/>
    <w:uiPriority w:val="0"/>
    <w:pPr>
      <w:widowControl w:val="0"/>
      <w:spacing w:after="0" w:afterLines="0"/>
      <w:jc w:val="both"/>
    </w:pPr>
    <w:rPr>
      <w:rFonts w:ascii="宋体" w:hAnsi="Courier New" w:eastAsia="宋体" w:cs="Times New Roman"/>
      <w:kern w:val="2"/>
      <w:sz w:val="21"/>
      <w:szCs w:val="24"/>
      <w:lang w:val="en-US" w:eastAsia="zh-CN"/>
    </w:rPr>
  </w:style>
  <w:style w:type="paragraph" w:customStyle="1" w:styleId="3">
    <w:name w:val="index 91"/>
    <w:basedOn w:val="1"/>
    <w:next w:val="1"/>
    <w:qFormat/>
    <w:uiPriority w:val="0"/>
    <w:pPr>
      <w:ind w:left="1600" w:leftChars="16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893</Words>
  <Characters>970</Characters>
  <Lines>0</Lines>
  <Paragraphs>0</Paragraphs>
  <TotalTime>0</TotalTime>
  <ScaleCrop>false</ScaleCrop>
  <LinksUpToDate>false</LinksUpToDate>
  <CharactersWithSpaces>1011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2025-07-09T09:44:00Z</dcterms:created>
  <dc:creator>邓岩</dc:creator>
  <cp:lastModifiedBy>张云鹏</cp:lastModifiedBy>
  <cp:lastPrinted>2025-07-30T03:16:49Z</cp:lastPrinted>
  <dcterms:modified xsi:type="dcterms:W3CDTF">2025-07-30T03:18:09Z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D1407208FCE0482889E8B31B7C70DAE4_11</vt:lpwstr>
  </property>
  <property fmtid="{D5CDD505-2E9C-101B-9397-08002B2CF9AE}" pid="4" name="KSOTemplateDocerSaveRecord">
    <vt:lpwstr>eyJoZGlkIjoiYWMwZjE3NWRiNGY2NjM3ZDc5YjVmMDViYjgyOTgwMTYiLCJ1c2VySWQiOiIxNjQ2MDUyOTAzIn0=</vt:lpwstr>
  </property>
</Properties>
</file>